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05D" w:rsidRDefault="008E205D" w:rsidP="008E2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Қызметтерді Жеткізушімен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Шарт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қ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а</w:t>
      </w:r>
    </w:p>
    <w:p w:rsidR="008E205D" w:rsidRDefault="008E205D" w:rsidP="008E2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ҚОСЫЛУ ШАРТЫ №_______ __________ ж.</w:t>
      </w:r>
    </w:p>
    <w:p w:rsidR="008E205D" w:rsidRDefault="008E205D" w:rsidP="008E20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8E205D" w:rsidRDefault="008E205D" w:rsidP="008E20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Төлем ұйымдарының тізілімінде төлем қызметтерінің 02-17-004 тіркеу нөмірімен тіркелген, бұдан әрі «Төлем ұйымы» деп аталатын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"QIWI Kazakhstan" (КИВИ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val="kk-KZ"/>
        </w:rPr>
        <w:t>Қазақстан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>Т</w:t>
      </w:r>
      <w:r>
        <w:rPr>
          <w:rFonts w:ascii="Times New Roman" w:eastAsia="Times New Roman" w:hAnsi="Times New Roman" w:cs="Times New Roman"/>
          <w:sz w:val="18"/>
          <w:szCs w:val="18"/>
        </w:rPr>
        <w:t>өлем ұйымы, ______ негізінде әрекет ететін __________ тұлғасында бір тараптан,</w:t>
      </w:r>
    </w:p>
    <w:p w:rsidR="008E205D" w:rsidRDefault="008E205D" w:rsidP="008E20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және бұдан әрі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«қызметтерді Жеткізуші»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деп аталатын 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ЖШС/ЖК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________негізінде әрекет ететін ___________ тұлғасында екінші тараптан, </w:t>
      </w:r>
    </w:p>
    <w:p w:rsidR="008E205D" w:rsidRDefault="008E205D" w:rsidP="008E205D">
      <w:pPr>
        <w:widowControl w:val="0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бірге «Тараптар», ал жеке-жеке «Тарап» деп аталатын немесе жоғарыда көрсетілгеніндей Қызметтерді Жеткізушімен төлем қызметтерін көрсету Шартына осы қосылу Шартын (бұдан әрі– «қосылу Шарты») жасасты және төмендегілер жөнінде келісті:</w:t>
      </w:r>
    </w:p>
    <w:p w:rsidR="008E205D" w:rsidRDefault="008E205D" w:rsidP="008E20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а) осы қосылу Шартында қолданылатын терминдер, қызметтерді Жеткізушімен төлем қызметтерін көрсету Шартымен (бұдан әрі- төлем қызметтерін көрсету Шарты) анықталған.</w:t>
      </w:r>
    </w:p>
    <w:p w:rsidR="008E205D" w:rsidRDefault="008E205D" w:rsidP="008E20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б) Тараптар Қазақстан Республикасы Азаматтық кодексінің 389 бабына сәйкес, төлем қызметтерін көрсету Шартының талаптарын, сондай-ақ оның барлық қосымшаларын қабылдайтынымен, олармен қандай да бір ал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ып </w:t>
      </w:r>
      <w:r w:rsidR="00240AFF">
        <w:rPr>
          <w:rFonts w:ascii="Times New Roman" w:eastAsia="Times New Roman" w:hAnsi="Times New Roman" w:cs="Times New Roman"/>
          <w:sz w:val="18"/>
          <w:szCs w:val="18"/>
          <w:lang w:val="kk-KZ"/>
        </w:rPr>
        <w:t>тастаусыз,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өзгертусіз және келіспеушіліктер хаттамасынсыз толықтай қабылданатынымен келіседі.</w:t>
      </w:r>
    </w:p>
    <w:p w:rsidR="008E205D" w:rsidRDefault="008E205D" w:rsidP="008E205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ШАРТТЫҢ МӘНІ</w:t>
      </w:r>
    </w:p>
    <w:p w:rsidR="008E205D" w:rsidRDefault="008E205D" w:rsidP="008E205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Осы қосылу Шарты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ның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негізінде қызметтерді Жеткізуші төлем қызметтерін көрсету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шартына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және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оған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қоса берілген барлық қосымшаларға қосылады.</w:t>
      </w:r>
    </w:p>
    <w:p w:rsidR="008E205D" w:rsidRDefault="008E205D" w:rsidP="008E205D">
      <w:pPr>
        <w:widowControl w:val="0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Бұдан әрі осы қосылу Шартының мәтіні бойынша «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Қызметтерді Жеткізушімен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Шарт» термині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Шарт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т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ың өзі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н де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, сонымен қатароған қоса берілген барлық қосымшалар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ды да қамтиды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.</w:t>
      </w:r>
    </w:p>
    <w:p w:rsidR="008E205D" w:rsidRDefault="008E205D" w:rsidP="008E205D">
      <w:pPr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ЫНТЫМАҚТАСТЫҚ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  <w:t xml:space="preserve">ТЫҢ </w:t>
      </w:r>
      <w:r w:rsidR="00240AF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val="kk-KZ"/>
        </w:rPr>
        <w:t>ЖАЛПЫ ТАЛАПТАРЫ</w:t>
      </w:r>
    </w:p>
    <w:p w:rsidR="008E205D" w:rsidRDefault="008E205D" w:rsidP="008E205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Қызметтерді Жеткізушімен ұсынылатын қызметтер тізбесі, аталған қызмет үшін төлемдер қабылдау кезінде Төлем ұйымының сыйақы мөлшерлемесі, төлеушіден алынатын комиссиялар (Төлем агенттерінің комиссиялық алымдары), Төлем ұйымы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қызметтерді Жеткізушінің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 xml:space="preserve">атына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қабылданған төлемдерді аудару мерзім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>дер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і:</w:t>
      </w:r>
    </w:p>
    <w:tbl>
      <w:tblPr>
        <w:tblW w:w="9424" w:type="dxa"/>
        <w:tblInd w:w="6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Look w:val="0400" w:firstRow="0" w:lastRow="0" w:firstColumn="0" w:lastColumn="0" w:noHBand="0" w:noVBand="1"/>
      </w:tblPr>
      <w:tblGrid>
        <w:gridCol w:w="245"/>
        <w:gridCol w:w="1277"/>
        <w:gridCol w:w="2373"/>
        <w:gridCol w:w="1985"/>
        <w:gridCol w:w="3544"/>
      </w:tblGrid>
      <w:tr w:rsidR="008E205D" w:rsidTr="008E205D">
        <w:trPr>
          <w:trHeight w:val="212"/>
        </w:trPr>
        <w:tc>
          <w:tcPr>
            <w:tcW w:w="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8E205D" w:rsidRDefault="008E205D" w:rsidP="008E2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Қызметтер атауы/қызметтерді Жеткізуші</w:t>
            </w: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hideMark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Төлем ұйымымен қабылданған төлемдерді аудару мерзімі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Төлем ұйымының сыйақысы, соның ішінде ҚҚС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Төлеушіден алынатын ең </w:t>
            </w:r>
            <w:r w:rsidR="00240AF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жоғары комиссия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мөлшері,</w:t>
            </w: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тг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.</w:t>
            </w:r>
          </w:p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</w:tr>
      <w:tr w:rsidR="008E205D" w:rsidTr="00240AFF">
        <w:trPr>
          <w:trHeight w:val="359"/>
        </w:trPr>
        <w:tc>
          <w:tcPr>
            <w:tcW w:w="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  <w:hideMark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1</w:t>
            </w:r>
          </w:p>
        </w:tc>
        <w:tc>
          <w:tcPr>
            <w:tcW w:w="12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108" w:type="dxa"/>
            </w:tcMar>
            <w:vAlign w:val="center"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</w:rPr>
            </w:pPr>
          </w:p>
        </w:tc>
        <w:tc>
          <w:tcPr>
            <w:tcW w:w="23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8E205D" w:rsidRDefault="008E205D" w:rsidP="008E2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4%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  <w:hideMark/>
          </w:tcPr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Шектелмеген, ең жоғары мөлшер Төлем ұйымымен анықталады</w:t>
            </w:r>
          </w:p>
        </w:tc>
      </w:tr>
    </w:tbl>
    <w:p w:rsidR="008E205D" w:rsidRDefault="008E205D" w:rsidP="008E205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Қызметтерді Жеткізушінің электронды пошталық мекенжайы және Төлем ұйымымен </w:t>
      </w:r>
      <w:proofErr w:type="spellStart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өзара</w:t>
      </w:r>
      <w:proofErr w:type="spellEnd"/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kk-KZ"/>
        </w:rPr>
        <w:t xml:space="preserve">әрекеттесуге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жауапты мамандар: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701"/>
        <w:gridCol w:w="1559"/>
        <w:gridCol w:w="2410"/>
      </w:tblGrid>
      <w:tr w:rsidR="008E205D" w:rsidTr="008E205D">
        <w:trPr>
          <w:trHeight w:val="259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Атауы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Электронды</w:t>
            </w:r>
            <w:r w:rsidRPr="00240AFF"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пошталық</w:t>
            </w:r>
            <w:r w:rsidRPr="00240AFF"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мекенжайы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Маманның</w:t>
            </w:r>
            <w:r w:rsidRPr="00240AFF"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ТАӘ</w:t>
            </w:r>
            <w:r w:rsidRPr="00240AFF"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және</w:t>
            </w:r>
            <w:r w:rsidRPr="00240AFF"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лауазымы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Телефон</w:t>
            </w:r>
            <w:r w:rsidRPr="00240AFF">
              <w:rPr>
                <w:rFonts w:ascii="Times New Roman" w:eastAsia="Abadi" w:hAnsi="Times New Roman" w:cs="Times New Roman"/>
                <w:b/>
                <w:bCs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нөмірі</w:t>
            </w:r>
          </w:p>
        </w:tc>
      </w:tr>
      <w:tr w:rsidR="008E205D" w:rsidTr="008E205D">
        <w:trPr>
          <w:trHeight w:val="94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jc w:val="both"/>
              <w:rPr>
                <w:rFonts w:ascii="Times New Roman" w:eastAsia="Abadi" w:hAnsi="Times New Roman" w:cs="Times New Roman"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Электрондық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поштаның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жалпы</w:t>
            </w:r>
            <w:proofErr w:type="spellEnd"/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мекенжайы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</w:tr>
      <w:tr w:rsidR="008E205D" w:rsidTr="008E205D">
        <w:trPr>
          <w:trHeight w:val="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Байланыс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>-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орталығы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</w:tr>
      <w:tr w:rsidR="008E205D" w:rsidTr="008E205D">
        <w:trPr>
          <w:trHeight w:val="70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Қате</w:t>
            </w:r>
            <w:proofErr w:type="spellEnd"/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төлемдердің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күшін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жою</w:t>
            </w:r>
            <w:proofErr w:type="spellEnd"/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және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түзету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</w:tr>
      <w:tr w:rsidR="008E205D" w:rsidTr="00240AFF">
        <w:trPr>
          <w:trHeight w:val="5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Бухгалтерия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</w:tr>
      <w:tr w:rsidR="008E205D" w:rsidTr="008E205D">
        <w:trPr>
          <w:trHeight w:val="18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Қызметтерді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Жеткізушімен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жұмыс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жөніндегі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бөлім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</w:p>
        </w:tc>
      </w:tr>
      <w:tr w:rsidR="008E205D" w:rsidTr="008E205D">
        <w:trPr>
          <w:trHeight w:val="162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Есеп</w:t>
            </w:r>
            <w:proofErr w:type="spellEnd"/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айырысу</w:t>
            </w:r>
            <w:r w:rsidRPr="00240AFF">
              <w:rPr>
                <w:rFonts w:ascii="Times New Roman" w:eastAsia="Abadi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Pr="00240AFF">
              <w:rPr>
                <w:rFonts w:ascii="Times New Roman" w:hAnsi="Times New Roman" w:cs="Times New Roman"/>
                <w:sz w:val="12"/>
                <w:szCs w:val="12"/>
              </w:rPr>
              <w:t>бөлімі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color w:val="333333"/>
                <w:sz w:val="12"/>
                <w:szCs w:val="12"/>
              </w:rPr>
            </w:pPr>
          </w:p>
        </w:tc>
      </w:tr>
      <w:tr w:rsidR="008E205D" w:rsidTr="008E205D">
        <w:trPr>
          <w:trHeight w:val="256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sz w:val="12"/>
                <w:szCs w:val="12"/>
              </w:rPr>
            </w:pPr>
            <w:hyperlink r:id="rId5" w:history="1">
              <w:r w:rsidRPr="00240AFF">
                <w:rPr>
                  <w:rStyle w:val="a3"/>
                  <w:rFonts w:ascii="Times New Roman" w:eastAsia="Abadi" w:hAnsi="Times New Roman" w:cs="Times New Roman"/>
                  <w:color w:val="0563C1"/>
                  <w:sz w:val="12"/>
                  <w:szCs w:val="12"/>
                </w:rPr>
                <w:t>https://dogovor24.kz</w:t>
              </w:r>
            </w:hyperlink>
            <w:r w:rsidRPr="00240AFF">
              <w:rPr>
                <w:rFonts w:ascii="Times New Roman" w:eastAsia="Abadi" w:hAnsi="Times New Roman" w:cs="Times New Roman"/>
                <w:color w:val="0563C1"/>
                <w:sz w:val="12"/>
                <w:szCs w:val="12"/>
                <w:u w:val="single"/>
              </w:rPr>
              <w:t xml:space="preserve"> </w:t>
            </w:r>
            <w:r w:rsidRPr="00240AF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тіркелген</w:t>
            </w:r>
            <w:r w:rsidRPr="00240AFF">
              <w:rPr>
                <w:rFonts w:ascii="Times New Roman" w:eastAsia="Abadi" w:hAnsi="Times New Roman" w:cs="Times New Roman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240AF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электрондық</w:t>
            </w:r>
            <w:proofErr w:type="spellEnd"/>
            <w:r w:rsidRPr="00240AFF">
              <w:rPr>
                <w:rFonts w:ascii="Times New Roman" w:eastAsia="Abadi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поштаның</w:t>
            </w:r>
            <w:r w:rsidRPr="00240AFF">
              <w:rPr>
                <w:rFonts w:ascii="Times New Roman" w:eastAsia="Abadi" w:hAnsi="Times New Roman" w:cs="Times New Roman"/>
                <w:color w:val="000000"/>
                <w:sz w:val="12"/>
                <w:szCs w:val="12"/>
              </w:rPr>
              <w:t xml:space="preserve"> </w:t>
            </w:r>
            <w:r w:rsidRPr="00240AFF">
              <w:rPr>
                <w:rFonts w:ascii="Times New Roman" w:hAnsi="Times New Roman" w:cs="Times New Roman"/>
                <w:color w:val="000000"/>
                <w:sz w:val="12"/>
                <w:szCs w:val="12"/>
              </w:rPr>
              <w:t>мекенжайы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color w:val="333333"/>
                <w:sz w:val="12"/>
                <w:szCs w:val="1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Pr="00240AFF" w:rsidRDefault="008E205D" w:rsidP="008E205D">
            <w:pPr>
              <w:spacing w:after="0" w:line="240" w:lineRule="auto"/>
              <w:rPr>
                <w:rFonts w:ascii="Times New Roman" w:eastAsia="Abadi" w:hAnsi="Times New Roman" w:cs="Times New Roman"/>
                <w:color w:val="333333"/>
                <w:sz w:val="12"/>
                <w:szCs w:val="12"/>
              </w:rPr>
            </w:pPr>
          </w:p>
        </w:tc>
      </w:tr>
    </w:tbl>
    <w:p w:rsidR="008E205D" w:rsidRDefault="008E205D" w:rsidP="008E205D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Төлем ұйымының жүйесіне қосылу ақысы: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962"/>
      </w:tblGrid>
      <w:tr w:rsidR="008E205D" w:rsidTr="008E205D">
        <w:trPr>
          <w:trHeight w:val="313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Default="008E205D" w:rsidP="008E2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Төлем ұйымының жүйесіне қосылу үшін қызметтерді Жеткізушімен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төленетін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төлем мөлшері/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сомасы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 xml:space="preserve"> (ҚҚС қосқанда)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Default="008E205D" w:rsidP="008E2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Аудару мерзімі</w:t>
            </w:r>
          </w:p>
        </w:tc>
      </w:tr>
      <w:tr w:rsidR="008E205D" w:rsidTr="008E205D">
        <w:trPr>
          <w:trHeight w:val="322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Default="008E205D" w:rsidP="008E2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Default="008E205D" w:rsidP="008E20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:rsidR="008E205D" w:rsidRDefault="008E205D" w:rsidP="008E20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ҚОСЫЛУ ШАРТЫНЫҢ ҚОЛДАНЫЛУ МЕРЗІМІ ЖӘНЕ БҰЗУ ТӘРТІБІ</w:t>
      </w:r>
    </w:p>
    <w:p w:rsidR="008E205D" w:rsidRDefault="008E205D" w:rsidP="008E20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3.1.</w:t>
      </w: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Осы қосылу Шарты 202__ж. «_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>_»_</w:t>
      </w:r>
      <w:proofErr w:type="gramEnd"/>
      <w:r>
        <w:rPr>
          <w:rFonts w:ascii="Times New Roman" w:eastAsia="Times New Roman" w:hAnsi="Times New Roman" w:cs="Times New Roman"/>
          <w:sz w:val="18"/>
          <w:szCs w:val="18"/>
        </w:rPr>
        <w:t xml:space="preserve">_____ бастап күшіне енеді және осы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>Ш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арттардың қайсысы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өз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күшін бұрын тоқтата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татынына байланысты қызметтерді Жеткізуші </w:t>
      </w:r>
      <w:r>
        <w:rPr>
          <w:rFonts w:ascii="Times New Roman" w:eastAsia="Times New Roman" w:hAnsi="Times New Roman" w:cs="Times New Roman"/>
          <w:sz w:val="18"/>
          <w:szCs w:val="18"/>
        </w:rPr>
        <w:t>қосылу Шарты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>ның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немесе Шарт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>т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ың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бүкіл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қолданылу мерзімі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 ішінде </w:t>
      </w:r>
      <w:r>
        <w:rPr>
          <w:rFonts w:ascii="Times New Roman" w:eastAsia="Times New Roman" w:hAnsi="Times New Roman" w:cs="Times New Roman"/>
          <w:sz w:val="18"/>
          <w:szCs w:val="18"/>
        </w:rPr>
        <w:t>қолданылады.</w:t>
      </w:r>
    </w:p>
    <w:p w:rsidR="008E205D" w:rsidRDefault="008E205D" w:rsidP="008E205D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3.2. Осы қосылу Шартын Тараптардың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келісімі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бойынша, сондай-ақ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біржақты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соттан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тыс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тәртіпте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бастама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қойған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Тараппен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басқа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Тарапты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болжалды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бұзу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күніне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30 (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отыз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күнтізбелік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күн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қалғанда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алдын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ала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хабардар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ету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арқылы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бұзуға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болады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. Осы қосылу Шарты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бұзылған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жағдайда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ол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бұзылғанға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дейін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туындаған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барлық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міндеттемелер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толық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көлемде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және төлем қызметтерін көрсету Шартының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талаптарына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сәйкес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орындауға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жатады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осыдан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кейін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қызметтерді Жеткізушімен жасалған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Шарт осы қосылу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шартында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Тараптар үшін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көрсетілген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өз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  <w:lang w:val="kk-KZ"/>
        </w:rPr>
        <w:t xml:space="preserve">қолданысын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</w:rPr>
        <w:t>тоқтатады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8E205D" w:rsidRDefault="008E205D" w:rsidP="008E205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4.ТАРАПТАРДЫҢ МЕКЕНЖАЙЛАРЫ, БАНКТІК ДЕРЕКТЕМЕЛЕРІ ЖӘНЕ ҚОЛДАРЫ: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3"/>
        <w:gridCol w:w="4820"/>
      </w:tblGrid>
      <w:tr w:rsidR="008E205D" w:rsidTr="008E205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«Төлем ұйымы»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«Қызметтерді Жеткізуші»</w:t>
            </w:r>
          </w:p>
        </w:tc>
      </w:tr>
      <w:tr w:rsidR="008E205D" w:rsidTr="008E205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"QIWI Kazakhstan" (КИВИ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kk-KZ"/>
              </w:rPr>
              <w:t>Қазақстан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) ЖШС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050059, Қазақстан Республикасы, Алматы қ.,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Қозыбаев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көш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., №212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үй</w:t>
            </w:r>
            <w:proofErr w:type="spellEnd"/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БСН: 060640010247 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ЖСК: KZ876017131000026063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Банк: «Қазақстан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банкі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» АҚ 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БСК: HSBKKZKX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Тел.: +7 (727) 356-12-12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E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-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mail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infokz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@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qiwi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  <w:lang w:val="en-US"/>
              </w:rPr>
              <w:t>com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Default="008E205D" w:rsidP="008E205D">
            <w:pPr>
              <w:widowControl w:val="0"/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8E205D" w:rsidTr="008E205D"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Default="008E205D" w:rsidP="008E205D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ЛАУАЗЫМЫ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________________/______________________/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МО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05D" w:rsidRDefault="008E205D" w:rsidP="008E205D">
            <w:pPr>
              <w:pBdr>
                <w:bottom w:val="single" w:sz="12" w:space="1" w:color="000000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ЛАУАЗЫМЫ</w:t>
            </w: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</w:p>
          <w:p w:rsidR="008E205D" w:rsidRDefault="008E205D" w:rsidP="008E20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________________/______________/</w:t>
            </w:r>
          </w:p>
          <w:p w:rsidR="008E205D" w:rsidRDefault="008E205D" w:rsidP="008E205D">
            <w:pPr>
              <w:widowControl w:val="0"/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2"/>
                <w:szCs w:val="12"/>
              </w:rPr>
              <w:t>МО</w:t>
            </w:r>
          </w:p>
        </w:tc>
      </w:tr>
    </w:tbl>
    <w:p w:rsidR="008E205D" w:rsidRDefault="008E205D" w:rsidP="008E205D">
      <w:pPr>
        <w:widowControl w:val="0"/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8E205D" w:rsidRDefault="008E205D" w:rsidP="008E205D">
      <w:pPr>
        <w:widowControl w:val="0"/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B033FC" w:rsidRDefault="00B033FC" w:rsidP="008E205D">
      <w:pPr>
        <w:spacing w:after="0" w:line="240" w:lineRule="auto"/>
      </w:pPr>
    </w:p>
    <w:sectPr w:rsidR="00B033FC" w:rsidSect="008E20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badi">
    <w:altName w:val="Arial"/>
    <w:charset w:val="00"/>
    <w:family w:val="swiss"/>
    <w:pitch w:val="variable"/>
    <w:sig w:usb0="80000003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0A5C54"/>
    <w:multiLevelType w:val="multilevel"/>
    <w:tmpl w:val="A33CA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46C"/>
    <w:rsid w:val="00240AFF"/>
    <w:rsid w:val="005B546C"/>
    <w:rsid w:val="008E205D"/>
    <w:rsid w:val="00B0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E0971"/>
  <w15:chartTrackingRefBased/>
  <w15:docId w15:val="{DCC64EF9-D2C9-4275-B677-7AED705CF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05D"/>
    <w:pPr>
      <w:spacing w:line="256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20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govor24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 Imankulova</dc:creator>
  <cp:keywords/>
  <dc:description/>
  <cp:lastModifiedBy>Madina Imankulova</cp:lastModifiedBy>
  <cp:revision>3</cp:revision>
  <dcterms:created xsi:type="dcterms:W3CDTF">2026-01-12T05:39:00Z</dcterms:created>
  <dcterms:modified xsi:type="dcterms:W3CDTF">2026-01-12T05:48:00Z</dcterms:modified>
</cp:coreProperties>
</file>